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6FA" w:rsidRDefault="003676FA" w:rsidP="00CE7787">
      <w:pPr>
        <w:ind w:left="360" w:hanging="360"/>
      </w:pPr>
    </w:p>
    <w:p w:rsidR="003676FA" w:rsidRPr="00971B37" w:rsidRDefault="003676FA" w:rsidP="003676FA">
      <w:pPr>
        <w:pStyle w:val="s4"/>
        <w:spacing w:before="0" w:beforeAutospacing="0" w:after="0" w:afterAutospacing="0"/>
        <w:divId w:val="512645919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971B37">
        <w:rPr>
          <w:rStyle w:val="s2"/>
          <w:rFonts w:asciiTheme="minorHAnsi" w:hAnsiTheme="minorHAnsi" w:cs="Arial"/>
          <w:b/>
          <w:bCs/>
          <w:color w:val="000000"/>
          <w:sz w:val="28"/>
          <w:szCs w:val="28"/>
        </w:rPr>
        <w:t>General</w:t>
      </w:r>
    </w:p>
    <w:p w:rsidR="003676FA" w:rsidRPr="002167FF" w:rsidRDefault="003676FA" w:rsidP="003676FA">
      <w:pPr>
        <w:pStyle w:val="s4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971B37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>
        <w:rPr>
          <w:rStyle w:val="s5"/>
          <w:rFonts w:asciiTheme="minorHAnsi" w:hAnsiTheme="minorHAnsi" w:cs="Arial"/>
          <w:color w:val="000000"/>
          <w:sz w:val="28"/>
          <w:szCs w:val="28"/>
        </w:rPr>
        <w:t>TBC</w:t>
      </w:r>
      <w:r w:rsidR="003676FA"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 xml:space="preserve"> said “Goodbye” to our old CEO (Mike Dawson) and Tewkesbury’s new CEO (Alistair Cunningham</w:t>
      </w:r>
      <w:r>
        <w:rPr>
          <w:rStyle w:val="s5"/>
          <w:rFonts w:asciiTheme="minorHAnsi" w:hAnsiTheme="minorHAnsi" w:cs="Arial"/>
          <w:color w:val="000000"/>
          <w:sz w:val="28"/>
          <w:szCs w:val="28"/>
        </w:rPr>
        <w:t xml:space="preserve"> OBE</w:t>
      </w:r>
      <w:r w:rsidR="003676FA"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)  is now in place.</w:t>
      </w:r>
    </w:p>
    <w:p w:rsidR="003676FA" w:rsidRPr="002167FF" w:rsidRDefault="003676FA" w:rsidP="003676FA">
      <w:pPr>
        <w:pStyle w:val="s4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971B37" w:rsidRDefault="003676FA" w:rsidP="00971B37">
      <w:pPr>
        <w:pStyle w:val="s4"/>
        <w:numPr>
          <w:ilvl w:val="0"/>
          <w:numId w:val="2"/>
        </w:numPr>
        <w:spacing w:before="0" w:beforeAutospacing="0" w:after="0" w:afterAutospacing="0"/>
        <w:divId w:val="512645919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971B37">
        <w:rPr>
          <w:rStyle w:val="s2"/>
          <w:rFonts w:asciiTheme="minorHAnsi" w:hAnsiTheme="minorHAnsi" w:cs="Arial"/>
          <w:b/>
          <w:bCs/>
          <w:color w:val="000000"/>
          <w:sz w:val="28"/>
          <w:szCs w:val="28"/>
        </w:rPr>
        <w:t>The Planning Function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Processing of minor planning applications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in the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last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quarter was under 50%, which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is well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below the 80%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national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target.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Although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officers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have been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working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very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hard to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clear the backlog of planning applications, the Planning function is becoming very stretched.  This is currently being exacerbated by people resigning for jobs elsewhere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–sometimes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for a complete career change.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There is also nationwide difficulty recruiting quality planning officers.  Contract staff will need to be recruited to the Planning Department.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The Planning Department’s Improvement Plan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will probably not see any tangible results until the end of the year.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It is also accepted that communication with residents regarding the status of planning applications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also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needs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improvement.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So, in the first instance, the website will be updated to give a clearer indication as to current timescales for determining applications.</w:t>
      </w:r>
    </w:p>
    <w:p w:rsidR="003676FA" w:rsidRPr="002167FF" w:rsidRDefault="003676FA" w:rsidP="003676FA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Fonts w:asciiTheme="minorHAnsi" w:hAnsiTheme="minorHAnsi"/>
          <w:color w:val="000000"/>
          <w:sz w:val="28"/>
          <w:szCs w:val="28"/>
        </w:rPr>
        <w:t> </w:t>
      </w:r>
    </w:p>
    <w:p w:rsidR="003676FA" w:rsidRPr="00971B37" w:rsidRDefault="003676FA" w:rsidP="00971B37">
      <w:pPr>
        <w:pStyle w:val="s6"/>
        <w:spacing w:before="0" w:beforeAutospacing="0" w:after="0" w:afterAutospacing="0"/>
        <w:divId w:val="512645919"/>
        <w:rPr>
          <w:rFonts w:asciiTheme="minorHAnsi" w:hAnsiTheme="minorHAnsi"/>
          <w:color w:val="000000"/>
          <w:sz w:val="28"/>
          <w:szCs w:val="28"/>
        </w:rPr>
      </w:pP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In addition,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bookmarkStart w:id="0" w:name="page2"/>
      <w:bookmarkEnd w:id="0"/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software is being developed that will allow planning</w:t>
      </w:r>
      <w:r w:rsidRPr="002167F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2167FF">
        <w:rPr>
          <w:rStyle w:val="s5"/>
          <w:rFonts w:asciiTheme="minorHAnsi" w:hAnsiTheme="minorHAnsi" w:cs="Arial"/>
          <w:color w:val="000000"/>
          <w:sz w:val="28"/>
          <w:szCs w:val="28"/>
        </w:rPr>
        <w:t>applications to be tracked by residents online.</w:t>
      </w:r>
    </w:p>
    <w:p w:rsidR="003676FA" w:rsidRPr="003676FA" w:rsidRDefault="003676FA" w:rsidP="003676FA">
      <w:pPr>
        <w:rPr>
          <w:b/>
          <w:bCs/>
          <w:sz w:val="28"/>
          <w:szCs w:val="28"/>
        </w:rPr>
      </w:pPr>
    </w:p>
    <w:p w:rsidR="00FC1031" w:rsidRPr="00AF4417" w:rsidRDefault="00DA6479" w:rsidP="00AF441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F4417">
        <w:rPr>
          <w:b/>
          <w:bCs/>
          <w:sz w:val="28"/>
          <w:szCs w:val="28"/>
        </w:rPr>
        <w:t>UBICO Annual Report</w:t>
      </w:r>
      <w:r w:rsidR="00F42B35" w:rsidRPr="00AF4417">
        <w:rPr>
          <w:b/>
          <w:bCs/>
          <w:sz w:val="28"/>
          <w:szCs w:val="28"/>
        </w:rPr>
        <w:t xml:space="preserve"> </w:t>
      </w:r>
      <w:r w:rsidR="006970E5" w:rsidRPr="00AF4417">
        <w:rPr>
          <w:b/>
          <w:bCs/>
          <w:sz w:val="28"/>
          <w:szCs w:val="28"/>
        </w:rPr>
        <w:t>for 2021/22</w:t>
      </w:r>
      <w:r w:rsidRPr="00AF4417">
        <w:rPr>
          <w:b/>
          <w:bCs/>
          <w:sz w:val="28"/>
          <w:szCs w:val="28"/>
        </w:rPr>
        <w:t xml:space="preserve"> to </w:t>
      </w:r>
      <w:r w:rsidR="006970E5" w:rsidRPr="00AF4417">
        <w:rPr>
          <w:b/>
          <w:bCs/>
          <w:sz w:val="28"/>
          <w:szCs w:val="28"/>
        </w:rPr>
        <w:t>O</w:t>
      </w:r>
      <w:r w:rsidR="00B65561" w:rsidRPr="00AF4417">
        <w:rPr>
          <w:b/>
          <w:bCs/>
          <w:sz w:val="28"/>
          <w:szCs w:val="28"/>
        </w:rPr>
        <w:t>&amp;</w:t>
      </w:r>
      <w:r w:rsidR="006970E5" w:rsidRPr="00AF4417">
        <w:rPr>
          <w:b/>
          <w:bCs/>
          <w:sz w:val="28"/>
          <w:szCs w:val="28"/>
        </w:rPr>
        <w:t>S</w:t>
      </w:r>
    </w:p>
    <w:p w:rsidR="00FC1031" w:rsidRDefault="00FC1031" w:rsidP="00F96C38"/>
    <w:p w:rsidR="00F96C38" w:rsidRPr="001F7630" w:rsidRDefault="00E72A3A" w:rsidP="001F7630">
      <w:pPr>
        <w:jc w:val="both"/>
        <w:rPr>
          <w:sz w:val="28"/>
          <w:szCs w:val="28"/>
        </w:rPr>
      </w:pPr>
      <w:r w:rsidRPr="001F7630">
        <w:rPr>
          <w:sz w:val="28"/>
          <w:szCs w:val="28"/>
        </w:rPr>
        <w:t>T</w:t>
      </w:r>
      <w:r w:rsidR="00F96C38" w:rsidRPr="001F7630">
        <w:rPr>
          <w:sz w:val="28"/>
          <w:szCs w:val="28"/>
        </w:rPr>
        <w:t xml:space="preserve">he </w:t>
      </w:r>
      <w:r w:rsidRPr="001F7630">
        <w:rPr>
          <w:sz w:val="28"/>
          <w:szCs w:val="28"/>
        </w:rPr>
        <w:t xml:space="preserve">Overview </w:t>
      </w:r>
      <w:r w:rsidR="00742351" w:rsidRPr="001F7630">
        <w:rPr>
          <w:sz w:val="28"/>
          <w:szCs w:val="28"/>
        </w:rPr>
        <w:t>a</w:t>
      </w:r>
      <w:r w:rsidRPr="001F7630">
        <w:rPr>
          <w:sz w:val="28"/>
          <w:szCs w:val="28"/>
        </w:rPr>
        <w:t>nd S</w:t>
      </w:r>
      <w:r w:rsidR="00742351" w:rsidRPr="001F7630">
        <w:rPr>
          <w:sz w:val="28"/>
          <w:szCs w:val="28"/>
        </w:rPr>
        <w:t xml:space="preserve">crutiny </w:t>
      </w:r>
      <w:r w:rsidR="006970E5">
        <w:rPr>
          <w:sz w:val="28"/>
          <w:szCs w:val="28"/>
        </w:rPr>
        <w:t>(O&amp;</w:t>
      </w:r>
      <w:r w:rsidR="00651824">
        <w:rPr>
          <w:sz w:val="28"/>
          <w:szCs w:val="28"/>
        </w:rPr>
        <w:t xml:space="preserve">S) </w:t>
      </w:r>
      <w:r w:rsidR="00742351" w:rsidRPr="001F7630">
        <w:rPr>
          <w:sz w:val="28"/>
          <w:szCs w:val="28"/>
        </w:rPr>
        <w:t xml:space="preserve">Committee was provided with an </w:t>
      </w:r>
      <w:r w:rsidR="00F96C38" w:rsidRPr="001F7630">
        <w:rPr>
          <w:sz w:val="28"/>
          <w:szCs w:val="28"/>
        </w:rPr>
        <w:t>annual update on U</w:t>
      </w:r>
      <w:r w:rsidR="0017012A" w:rsidRPr="001F7630">
        <w:rPr>
          <w:sz w:val="28"/>
          <w:szCs w:val="28"/>
        </w:rPr>
        <w:t>BICO’s</w:t>
      </w:r>
      <w:r w:rsidR="00F96C38" w:rsidRPr="001F7630">
        <w:rPr>
          <w:sz w:val="28"/>
          <w:szCs w:val="28"/>
        </w:rPr>
        <w:t xml:space="preserve"> contract for waste and recycling collections, street cleansing and grounds maintenance services. It cover</w:t>
      </w:r>
      <w:r w:rsidR="0017012A" w:rsidRPr="001F7630">
        <w:rPr>
          <w:sz w:val="28"/>
          <w:szCs w:val="28"/>
        </w:rPr>
        <w:t>ed</w:t>
      </w:r>
      <w:r w:rsidR="00F96C38" w:rsidRPr="001F7630">
        <w:rPr>
          <w:sz w:val="28"/>
          <w:szCs w:val="28"/>
        </w:rPr>
        <w:t xml:space="preserve"> </w:t>
      </w:r>
      <w:r w:rsidR="00FC1031" w:rsidRPr="001F7630">
        <w:rPr>
          <w:sz w:val="28"/>
          <w:szCs w:val="28"/>
        </w:rPr>
        <w:t>a</w:t>
      </w:r>
      <w:r w:rsidR="00651824">
        <w:rPr>
          <w:sz w:val="28"/>
          <w:szCs w:val="28"/>
        </w:rPr>
        <w:t>n overview of the</w:t>
      </w:r>
      <w:r w:rsidR="00F96C38" w:rsidRPr="001F7630">
        <w:rPr>
          <w:sz w:val="28"/>
          <w:szCs w:val="28"/>
        </w:rPr>
        <w:t xml:space="preserve"> service, financial performance, fleet management, health and safety performanc</w:t>
      </w:r>
      <w:r w:rsidR="00053D13">
        <w:rPr>
          <w:sz w:val="28"/>
          <w:szCs w:val="28"/>
        </w:rPr>
        <w:t>e</w:t>
      </w:r>
      <w:r w:rsidR="00F96C38" w:rsidRPr="001F7630">
        <w:rPr>
          <w:sz w:val="28"/>
          <w:szCs w:val="28"/>
        </w:rPr>
        <w:t>.</w:t>
      </w:r>
    </w:p>
    <w:p w:rsidR="00FC1031" w:rsidRPr="001F7630" w:rsidRDefault="00FC1031" w:rsidP="001F7630">
      <w:pPr>
        <w:jc w:val="both"/>
        <w:rPr>
          <w:sz w:val="28"/>
          <w:szCs w:val="28"/>
        </w:rPr>
      </w:pPr>
    </w:p>
    <w:p w:rsidR="00AF4417" w:rsidRDefault="004C41C8" w:rsidP="00610E47">
      <w:pPr>
        <w:jc w:val="both"/>
        <w:rPr>
          <w:sz w:val="28"/>
          <w:szCs w:val="28"/>
        </w:rPr>
      </w:pPr>
      <w:r>
        <w:rPr>
          <w:sz w:val="28"/>
          <w:szCs w:val="28"/>
        </w:rPr>
        <w:t>UBICO</w:t>
      </w:r>
      <w:r w:rsidR="00F96C38" w:rsidRPr="001F7630">
        <w:rPr>
          <w:sz w:val="28"/>
          <w:szCs w:val="28"/>
        </w:rPr>
        <w:t xml:space="preserve"> has maintained </w:t>
      </w:r>
      <w:r w:rsidR="005A5FCD">
        <w:rPr>
          <w:sz w:val="28"/>
          <w:szCs w:val="28"/>
        </w:rPr>
        <w:t xml:space="preserve">very </w:t>
      </w:r>
      <w:r w:rsidR="00F96C38" w:rsidRPr="001F7630">
        <w:rPr>
          <w:sz w:val="28"/>
          <w:szCs w:val="28"/>
        </w:rPr>
        <w:t xml:space="preserve">good performance during the year with improvements in the numbers of missed bin collections and repeat missed collections. </w:t>
      </w:r>
      <w:r w:rsidR="002D366F">
        <w:rPr>
          <w:sz w:val="28"/>
          <w:szCs w:val="28"/>
        </w:rPr>
        <w:t xml:space="preserve"> </w:t>
      </w:r>
      <w:r w:rsidR="002A78BC" w:rsidRPr="001F7630">
        <w:rPr>
          <w:sz w:val="28"/>
          <w:szCs w:val="28"/>
        </w:rPr>
        <w:t>Total missed collections reduced across all services year on year</w:t>
      </w:r>
    </w:p>
    <w:p w:rsidR="002A78BC" w:rsidRPr="001F7630" w:rsidRDefault="002A78BC" w:rsidP="00610E47">
      <w:pPr>
        <w:jc w:val="both"/>
        <w:rPr>
          <w:sz w:val="28"/>
          <w:szCs w:val="28"/>
        </w:rPr>
      </w:pPr>
      <w:r w:rsidRPr="001F7630">
        <w:rPr>
          <w:sz w:val="28"/>
          <w:szCs w:val="28"/>
        </w:rPr>
        <w:lastRenderedPageBreak/>
        <w:t>with refuse missed collections dropping from 444 to 299, a reduction of 33%.</w:t>
      </w:r>
      <w:r w:rsidR="005A5FCD">
        <w:rPr>
          <w:sz w:val="28"/>
          <w:szCs w:val="28"/>
        </w:rPr>
        <w:t xml:space="preserve">  </w:t>
      </w:r>
      <w:r w:rsidRPr="001F7630">
        <w:rPr>
          <w:sz w:val="28"/>
          <w:szCs w:val="28"/>
        </w:rPr>
        <w:t>Collection accuracy exceeded the target of 99.95% with 99.96% achieved. This is an increase from 99.93% for 2020/21.</w:t>
      </w:r>
      <w:r w:rsidR="005A1FD1">
        <w:rPr>
          <w:sz w:val="28"/>
          <w:szCs w:val="28"/>
        </w:rPr>
        <w:t xml:space="preserve">  </w:t>
      </w:r>
      <w:r w:rsidRPr="001F7630">
        <w:rPr>
          <w:sz w:val="28"/>
          <w:szCs w:val="28"/>
        </w:rPr>
        <w:t>Repeat missed collections were within target for every month of the year.</w:t>
      </w:r>
    </w:p>
    <w:p w:rsidR="00714833" w:rsidRPr="001F7630" w:rsidRDefault="00714833" w:rsidP="001F7630">
      <w:pPr>
        <w:jc w:val="both"/>
        <w:rPr>
          <w:sz w:val="28"/>
          <w:szCs w:val="28"/>
        </w:rPr>
      </w:pPr>
    </w:p>
    <w:p w:rsidR="00E86751" w:rsidRPr="001F7630" w:rsidRDefault="00F96C38" w:rsidP="00610E47">
      <w:pPr>
        <w:jc w:val="both"/>
        <w:rPr>
          <w:sz w:val="28"/>
          <w:szCs w:val="28"/>
        </w:rPr>
      </w:pPr>
      <w:r w:rsidRPr="001F7630">
        <w:rPr>
          <w:sz w:val="28"/>
          <w:szCs w:val="28"/>
        </w:rPr>
        <w:t xml:space="preserve">Performance against the budget was good with a small full year underspend. </w:t>
      </w:r>
      <w:r w:rsidR="00E86751" w:rsidRPr="001F7630">
        <w:rPr>
          <w:sz w:val="28"/>
          <w:szCs w:val="28"/>
        </w:rPr>
        <w:t>At the end of the financial year, the full year spend on the Tewkesbury Borough contract</w:t>
      </w:r>
      <w:r w:rsidR="00E86751">
        <w:rPr>
          <w:sz w:val="28"/>
          <w:szCs w:val="28"/>
        </w:rPr>
        <w:t xml:space="preserve"> </w:t>
      </w:r>
      <w:r w:rsidR="00E86751" w:rsidRPr="001F7630">
        <w:rPr>
          <w:sz w:val="28"/>
          <w:szCs w:val="28"/>
        </w:rPr>
        <w:t xml:space="preserve">stood at </w:t>
      </w:r>
      <w:r w:rsidR="007A1FE3">
        <w:rPr>
          <w:sz w:val="28"/>
          <w:szCs w:val="28"/>
        </w:rPr>
        <w:t xml:space="preserve">about </w:t>
      </w:r>
      <w:r w:rsidR="00E86751" w:rsidRPr="001F7630">
        <w:rPr>
          <w:sz w:val="28"/>
          <w:szCs w:val="28"/>
        </w:rPr>
        <w:t>£4,25</w:t>
      </w:r>
      <w:r w:rsidR="002A1171">
        <w:rPr>
          <w:sz w:val="28"/>
          <w:szCs w:val="28"/>
        </w:rPr>
        <w:t>0,000</w:t>
      </w:r>
      <w:r w:rsidR="00E86751" w:rsidRPr="001F7630">
        <w:rPr>
          <w:sz w:val="28"/>
          <w:szCs w:val="28"/>
        </w:rPr>
        <w:t xml:space="preserve">. The final spend represents a contract saving of </w:t>
      </w:r>
      <w:r w:rsidR="007E2EE3">
        <w:rPr>
          <w:sz w:val="28"/>
          <w:szCs w:val="28"/>
        </w:rPr>
        <w:t xml:space="preserve">about </w:t>
      </w:r>
      <w:r w:rsidR="00E86751" w:rsidRPr="001F7630">
        <w:rPr>
          <w:sz w:val="28"/>
          <w:szCs w:val="28"/>
        </w:rPr>
        <w:t>£2</w:t>
      </w:r>
      <w:r w:rsidR="007E2EE3">
        <w:rPr>
          <w:sz w:val="28"/>
          <w:szCs w:val="28"/>
        </w:rPr>
        <w:t>4,000</w:t>
      </w:r>
      <w:r w:rsidR="00E86751" w:rsidRPr="001F7630">
        <w:rPr>
          <w:sz w:val="28"/>
          <w:szCs w:val="28"/>
        </w:rPr>
        <w:t>.</w:t>
      </w:r>
    </w:p>
    <w:p w:rsidR="00714833" w:rsidRPr="001F7630" w:rsidRDefault="00714833" w:rsidP="001F7630">
      <w:pPr>
        <w:jc w:val="both"/>
        <w:rPr>
          <w:sz w:val="28"/>
          <w:szCs w:val="28"/>
        </w:rPr>
      </w:pPr>
    </w:p>
    <w:p w:rsidR="00F96C38" w:rsidRPr="001F7630" w:rsidRDefault="00F96C38" w:rsidP="001F7630">
      <w:pPr>
        <w:jc w:val="both"/>
        <w:rPr>
          <w:sz w:val="28"/>
          <w:szCs w:val="28"/>
        </w:rPr>
      </w:pPr>
      <w:r w:rsidRPr="001F7630">
        <w:rPr>
          <w:sz w:val="28"/>
          <w:szCs w:val="28"/>
        </w:rPr>
        <w:t xml:space="preserve">There was particular success in the grounds maintenance service with a </w:t>
      </w:r>
      <w:r w:rsidR="00626AA6" w:rsidRPr="001F7630">
        <w:rPr>
          <w:sz w:val="28"/>
          <w:szCs w:val="28"/>
        </w:rPr>
        <w:t>very successful season of winter works, with all planned work completed included outstanding work from the previous year</w:t>
      </w:r>
      <w:r w:rsidR="00EF4B7F">
        <w:rPr>
          <w:sz w:val="28"/>
          <w:szCs w:val="28"/>
        </w:rPr>
        <w:t>.</w:t>
      </w:r>
    </w:p>
    <w:p w:rsidR="00714833" w:rsidRDefault="00714833" w:rsidP="001F7630">
      <w:pPr>
        <w:jc w:val="both"/>
        <w:rPr>
          <w:sz w:val="28"/>
          <w:szCs w:val="28"/>
        </w:rPr>
      </w:pPr>
    </w:p>
    <w:p w:rsidR="00F96C38" w:rsidRDefault="004C79D3" w:rsidP="00850D21">
      <w:pPr>
        <w:jc w:val="both"/>
        <w:rPr>
          <w:sz w:val="28"/>
          <w:szCs w:val="28"/>
        </w:rPr>
      </w:pPr>
      <w:r>
        <w:rPr>
          <w:sz w:val="28"/>
          <w:szCs w:val="28"/>
        </w:rPr>
        <w:t>The d</w:t>
      </w:r>
      <w:r w:rsidR="00DA3431">
        <w:rPr>
          <w:sz w:val="28"/>
          <w:szCs w:val="28"/>
        </w:rPr>
        <w:t>etai</w:t>
      </w:r>
      <w:r>
        <w:rPr>
          <w:sz w:val="28"/>
          <w:szCs w:val="28"/>
        </w:rPr>
        <w:t xml:space="preserve">led UBICO report </w:t>
      </w:r>
      <w:r w:rsidR="00E57127">
        <w:rPr>
          <w:sz w:val="28"/>
          <w:szCs w:val="28"/>
        </w:rPr>
        <w:t xml:space="preserve">can be found </w:t>
      </w:r>
      <w:r w:rsidR="00A42D72">
        <w:rPr>
          <w:sz w:val="28"/>
          <w:szCs w:val="28"/>
        </w:rPr>
        <w:t>in</w:t>
      </w:r>
      <w:r w:rsidR="00E57127">
        <w:rPr>
          <w:sz w:val="28"/>
          <w:szCs w:val="28"/>
        </w:rPr>
        <w:t xml:space="preserve"> the </w:t>
      </w:r>
      <w:r w:rsidR="00A42D72">
        <w:rPr>
          <w:sz w:val="28"/>
          <w:szCs w:val="28"/>
        </w:rPr>
        <w:t xml:space="preserve">TBC website under </w:t>
      </w:r>
      <w:r w:rsidR="00B44FF1">
        <w:rPr>
          <w:sz w:val="28"/>
          <w:szCs w:val="28"/>
        </w:rPr>
        <w:t xml:space="preserve">Overview and Scrutiny Committee’s Agenda for their </w:t>
      </w:r>
      <w:r w:rsidR="001D6EF6">
        <w:rPr>
          <w:sz w:val="28"/>
          <w:szCs w:val="28"/>
        </w:rPr>
        <w:t xml:space="preserve">recent </w:t>
      </w:r>
      <w:r w:rsidR="00B44FF1">
        <w:rPr>
          <w:sz w:val="28"/>
          <w:szCs w:val="28"/>
        </w:rPr>
        <w:t>July meeting.</w:t>
      </w:r>
    </w:p>
    <w:p w:rsidR="00850D21" w:rsidRDefault="00850D21" w:rsidP="00850D21">
      <w:pPr>
        <w:jc w:val="both"/>
        <w:rPr>
          <w:sz w:val="28"/>
          <w:szCs w:val="28"/>
        </w:rPr>
      </w:pPr>
    </w:p>
    <w:p w:rsidR="00B65561" w:rsidRPr="00AF4417" w:rsidRDefault="006075AC" w:rsidP="00AF441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F4417">
        <w:rPr>
          <w:b/>
          <w:bCs/>
          <w:sz w:val="28"/>
          <w:szCs w:val="28"/>
        </w:rPr>
        <w:t xml:space="preserve">Year 2 of TBC’s </w:t>
      </w:r>
      <w:r w:rsidR="0024722E" w:rsidRPr="00AF4417">
        <w:rPr>
          <w:b/>
          <w:bCs/>
          <w:sz w:val="28"/>
          <w:szCs w:val="28"/>
        </w:rPr>
        <w:t xml:space="preserve">Carbon Reduction </w:t>
      </w:r>
      <w:r w:rsidRPr="00AF4417">
        <w:rPr>
          <w:b/>
          <w:bCs/>
          <w:sz w:val="28"/>
          <w:szCs w:val="28"/>
        </w:rPr>
        <w:t>Action Plan</w:t>
      </w:r>
    </w:p>
    <w:p w:rsidR="00850D21" w:rsidRDefault="00850D21" w:rsidP="00B65561">
      <w:pPr>
        <w:jc w:val="both"/>
        <w:rPr>
          <w:sz w:val="28"/>
          <w:szCs w:val="28"/>
        </w:rPr>
      </w:pPr>
    </w:p>
    <w:p w:rsidR="00A26442" w:rsidRDefault="00B9017E" w:rsidP="00A26442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26442" w:rsidRPr="00A26442">
        <w:rPr>
          <w:sz w:val="28"/>
          <w:szCs w:val="28"/>
        </w:rPr>
        <w:t>he Council’s current carbon consumption</w:t>
      </w:r>
      <w:r>
        <w:rPr>
          <w:sz w:val="28"/>
          <w:szCs w:val="28"/>
        </w:rPr>
        <w:t xml:space="preserve"> was baselined</w:t>
      </w:r>
      <w:r w:rsidR="00D74294">
        <w:rPr>
          <w:sz w:val="28"/>
          <w:szCs w:val="28"/>
        </w:rPr>
        <w:t xml:space="preserve"> following </w:t>
      </w:r>
      <w:r w:rsidR="00D23DD6" w:rsidRPr="00A26442">
        <w:rPr>
          <w:sz w:val="28"/>
          <w:szCs w:val="28"/>
        </w:rPr>
        <w:t>the declaration of a climate emergency in October 2019</w:t>
      </w:r>
      <w:r w:rsidR="00A26442" w:rsidRPr="00A26442">
        <w:rPr>
          <w:sz w:val="28"/>
          <w:szCs w:val="28"/>
        </w:rPr>
        <w:t>. This was reported to Council in July 2020 along with an overarching action plan designed to achieve carbon neutrality in Council services by 2030.</w:t>
      </w:r>
    </w:p>
    <w:p w:rsidR="00D23DD6" w:rsidRPr="00A26442" w:rsidRDefault="00D23DD6" w:rsidP="00A26442">
      <w:pPr>
        <w:jc w:val="both"/>
        <w:rPr>
          <w:sz w:val="28"/>
          <w:szCs w:val="28"/>
        </w:rPr>
      </w:pPr>
    </w:p>
    <w:p w:rsidR="00B32B04" w:rsidRDefault="00A26442" w:rsidP="00A26442">
      <w:pPr>
        <w:jc w:val="both"/>
        <w:rPr>
          <w:sz w:val="28"/>
          <w:szCs w:val="28"/>
        </w:rPr>
      </w:pPr>
      <w:r w:rsidRPr="00A26442">
        <w:rPr>
          <w:sz w:val="28"/>
          <w:szCs w:val="28"/>
        </w:rPr>
        <w:t xml:space="preserve">Good progress has been made in the second year of the action plan, particularly since the appointment of the new Carbon Reduction Programme Officer. There </w:t>
      </w:r>
      <w:r w:rsidR="00E874F1">
        <w:rPr>
          <w:sz w:val="28"/>
          <w:szCs w:val="28"/>
        </w:rPr>
        <w:t>w</w:t>
      </w:r>
      <w:r w:rsidRPr="00A26442">
        <w:rPr>
          <w:sz w:val="28"/>
          <w:szCs w:val="28"/>
        </w:rPr>
        <w:t>as disappointment with the inability to replace the heating system at the Council Offices</w:t>
      </w:r>
      <w:r w:rsidR="008E6F7C">
        <w:rPr>
          <w:sz w:val="28"/>
          <w:szCs w:val="28"/>
        </w:rPr>
        <w:t xml:space="preserve"> because </w:t>
      </w:r>
      <w:r w:rsidR="00D27CD7">
        <w:rPr>
          <w:sz w:val="28"/>
          <w:szCs w:val="28"/>
        </w:rPr>
        <w:t>costs</w:t>
      </w:r>
      <w:r w:rsidR="00612176">
        <w:rPr>
          <w:sz w:val="28"/>
          <w:szCs w:val="28"/>
        </w:rPr>
        <w:t xml:space="preserve"> dra</w:t>
      </w:r>
      <w:r w:rsidR="00E93326">
        <w:rPr>
          <w:sz w:val="28"/>
          <w:szCs w:val="28"/>
        </w:rPr>
        <w:t>matically increased.  However,</w:t>
      </w:r>
      <w:r w:rsidRPr="00A26442">
        <w:rPr>
          <w:sz w:val="28"/>
          <w:szCs w:val="28"/>
        </w:rPr>
        <w:t xml:space="preserve"> the delivery of the solar car parking canopy is well underway and should be completed </w:t>
      </w:r>
      <w:r w:rsidR="0071515F">
        <w:rPr>
          <w:sz w:val="28"/>
          <w:szCs w:val="28"/>
        </w:rPr>
        <w:t>before the end of July 2022</w:t>
      </w:r>
      <w:r w:rsidR="00B32B04">
        <w:rPr>
          <w:sz w:val="28"/>
          <w:szCs w:val="28"/>
        </w:rPr>
        <w:t>.</w:t>
      </w:r>
    </w:p>
    <w:p w:rsidR="00B32B04" w:rsidRDefault="00B32B04" w:rsidP="00A26442">
      <w:pPr>
        <w:jc w:val="both"/>
        <w:rPr>
          <w:sz w:val="28"/>
          <w:szCs w:val="28"/>
        </w:rPr>
      </w:pPr>
    </w:p>
    <w:p w:rsidR="006F4ADA" w:rsidRPr="00A0260B" w:rsidRDefault="00342DCF" w:rsidP="00A0260B">
      <w:pPr>
        <w:divId w:val="207182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There was a</w:t>
      </w:r>
      <w:r w:rsidR="006F4ADA" w:rsidRPr="00A26442">
        <w:rPr>
          <w:sz w:val="28"/>
          <w:szCs w:val="28"/>
        </w:rPr>
        <w:t xml:space="preserve"> significant reduction in emissions across Council services in the last calendar year. A total of 538 T/CO2e </w:t>
      </w:r>
      <w:r w:rsidR="00D305CD">
        <w:rPr>
          <w:sz w:val="28"/>
          <w:szCs w:val="28"/>
        </w:rPr>
        <w:t>(</w:t>
      </w:r>
      <w:r w:rsidR="00A0260B" w:rsidRPr="00A0260B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tonnes of carbon dioxide equivalent</w:t>
      </w:r>
      <w:r w:rsidR="00A0260B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)</w:t>
      </w:r>
      <w:r w:rsidR="00A02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ADA" w:rsidRPr="00A26442">
        <w:rPr>
          <w:sz w:val="28"/>
          <w:szCs w:val="28"/>
        </w:rPr>
        <w:t xml:space="preserve">or 33.5% has been saved against the Council’s baseline </w:t>
      </w:r>
      <w:r w:rsidR="00A0260B">
        <w:rPr>
          <w:sz w:val="28"/>
          <w:szCs w:val="28"/>
        </w:rPr>
        <w:t xml:space="preserve">- </w:t>
      </w:r>
      <w:r w:rsidR="006F4ADA" w:rsidRPr="00A26442">
        <w:rPr>
          <w:sz w:val="28"/>
          <w:szCs w:val="28"/>
        </w:rPr>
        <w:t>which is a significant achievement.</w:t>
      </w:r>
    </w:p>
    <w:p w:rsidR="006F4ADA" w:rsidRDefault="006F4ADA" w:rsidP="00A26442">
      <w:pPr>
        <w:jc w:val="both"/>
        <w:rPr>
          <w:sz w:val="28"/>
          <w:szCs w:val="28"/>
        </w:rPr>
      </w:pPr>
    </w:p>
    <w:p w:rsidR="00B32B04" w:rsidRDefault="00C9065D" w:rsidP="00610E47">
      <w:pPr>
        <w:jc w:val="both"/>
        <w:rPr>
          <w:sz w:val="28"/>
          <w:szCs w:val="28"/>
        </w:rPr>
      </w:pPr>
      <w:r>
        <w:rPr>
          <w:sz w:val="28"/>
          <w:szCs w:val="28"/>
        </w:rPr>
        <w:t>Details of the</w:t>
      </w:r>
      <w:r w:rsidR="00D86083">
        <w:rPr>
          <w:sz w:val="28"/>
          <w:szCs w:val="28"/>
        </w:rPr>
        <w:t xml:space="preserve"> </w:t>
      </w:r>
      <w:r>
        <w:rPr>
          <w:sz w:val="28"/>
          <w:szCs w:val="28"/>
        </w:rPr>
        <w:t>actions completed in year 2</w:t>
      </w:r>
      <w:r w:rsidR="00B32B04">
        <w:rPr>
          <w:sz w:val="28"/>
          <w:szCs w:val="28"/>
        </w:rPr>
        <w:t xml:space="preserve"> </w:t>
      </w:r>
      <w:r w:rsidR="00373789">
        <w:rPr>
          <w:sz w:val="28"/>
          <w:szCs w:val="28"/>
        </w:rPr>
        <w:t xml:space="preserve">together with planned actions for year 3 </w:t>
      </w:r>
      <w:r w:rsidR="00B32B04">
        <w:rPr>
          <w:sz w:val="28"/>
          <w:szCs w:val="28"/>
        </w:rPr>
        <w:t>can be found in the TBC website under Overview and Scrutiny Committee’s Agenda for their recent July meeting.</w:t>
      </w:r>
    </w:p>
    <w:p w:rsidR="007878BA" w:rsidRPr="003040E2" w:rsidRDefault="007878BA" w:rsidP="003040E2">
      <w:pPr>
        <w:jc w:val="both"/>
        <w:rPr>
          <w:sz w:val="28"/>
          <w:szCs w:val="28"/>
        </w:rPr>
      </w:pPr>
    </w:p>
    <w:p w:rsidR="007878BA" w:rsidRDefault="007878BA"/>
    <w:sectPr w:rsidR="0078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74FC"/>
    <w:multiLevelType w:val="hybridMultilevel"/>
    <w:tmpl w:val="286AF4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75EAB"/>
    <w:multiLevelType w:val="hybridMultilevel"/>
    <w:tmpl w:val="30549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415612">
    <w:abstractNumId w:val="0"/>
  </w:num>
  <w:num w:numId="2" w16cid:durableId="183025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BA"/>
    <w:rsid w:val="00053D13"/>
    <w:rsid w:val="0017012A"/>
    <w:rsid w:val="001D6EF6"/>
    <w:rsid w:val="001F7630"/>
    <w:rsid w:val="002167FF"/>
    <w:rsid w:val="0024722E"/>
    <w:rsid w:val="002A1171"/>
    <w:rsid w:val="002A78BC"/>
    <w:rsid w:val="002D366F"/>
    <w:rsid w:val="003040E2"/>
    <w:rsid w:val="00342DCF"/>
    <w:rsid w:val="003676FA"/>
    <w:rsid w:val="00373789"/>
    <w:rsid w:val="004C41C8"/>
    <w:rsid w:val="004C79D3"/>
    <w:rsid w:val="005A1FD1"/>
    <w:rsid w:val="005A5FCD"/>
    <w:rsid w:val="005F2A4E"/>
    <w:rsid w:val="006075AC"/>
    <w:rsid w:val="006113E2"/>
    <w:rsid w:val="00612176"/>
    <w:rsid w:val="00626AA6"/>
    <w:rsid w:val="00651824"/>
    <w:rsid w:val="006970E5"/>
    <w:rsid w:val="006F4ADA"/>
    <w:rsid w:val="00714833"/>
    <w:rsid w:val="0071515F"/>
    <w:rsid w:val="00742351"/>
    <w:rsid w:val="007878BA"/>
    <w:rsid w:val="007A1FE3"/>
    <w:rsid w:val="007E2EE3"/>
    <w:rsid w:val="00850D21"/>
    <w:rsid w:val="008E6F7C"/>
    <w:rsid w:val="00911F44"/>
    <w:rsid w:val="009177DA"/>
    <w:rsid w:val="00971B37"/>
    <w:rsid w:val="009E4419"/>
    <w:rsid w:val="00A0260B"/>
    <w:rsid w:val="00A26442"/>
    <w:rsid w:val="00A42D72"/>
    <w:rsid w:val="00AF4417"/>
    <w:rsid w:val="00B32B04"/>
    <w:rsid w:val="00B44FF1"/>
    <w:rsid w:val="00B57C92"/>
    <w:rsid w:val="00B65561"/>
    <w:rsid w:val="00B9017E"/>
    <w:rsid w:val="00C9065D"/>
    <w:rsid w:val="00CE7787"/>
    <w:rsid w:val="00D23DD6"/>
    <w:rsid w:val="00D27CD7"/>
    <w:rsid w:val="00D305CD"/>
    <w:rsid w:val="00D74294"/>
    <w:rsid w:val="00D77E53"/>
    <w:rsid w:val="00D81D16"/>
    <w:rsid w:val="00D86083"/>
    <w:rsid w:val="00DA3431"/>
    <w:rsid w:val="00DA6479"/>
    <w:rsid w:val="00DC6DA4"/>
    <w:rsid w:val="00E57127"/>
    <w:rsid w:val="00E72A3A"/>
    <w:rsid w:val="00E86751"/>
    <w:rsid w:val="00E874F1"/>
    <w:rsid w:val="00E93326"/>
    <w:rsid w:val="00EC0EE1"/>
    <w:rsid w:val="00EF4B7F"/>
    <w:rsid w:val="00EF7BA4"/>
    <w:rsid w:val="00F42B35"/>
    <w:rsid w:val="00F96C38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35816"/>
  <w15:chartTrackingRefBased/>
  <w15:docId w15:val="{5EEE868E-096D-4C4D-9E84-6C7FD5C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87"/>
    <w:pPr>
      <w:ind w:left="720"/>
      <w:contextualSpacing/>
    </w:pPr>
  </w:style>
  <w:style w:type="paragraph" w:customStyle="1" w:styleId="s4">
    <w:name w:val="s4"/>
    <w:basedOn w:val="Normal"/>
    <w:rsid w:val="003676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676FA"/>
  </w:style>
  <w:style w:type="character" w:customStyle="1" w:styleId="s5">
    <w:name w:val="s5"/>
    <w:basedOn w:val="DefaultParagraphFont"/>
    <w:rsid w:val="003676FA"/>
  </w:style>
  <w:style w:type="character" w:customStyle="1" w:styleId="apple-converted-space">
    <w:name w:val="apple-converted-space"/>
    <w:basedOn w:val="DefaultParagraphFont"/>
    <w:rsid w:val="003676FA"/>
  </w:style>
  <w:style w:type="paragraph" w:customStyle="1" w:styleId="s6">
    <w:name w:val="s6"/>
    <w:basedOn w:val="Normal"/>
    <w:rsid w:val="003676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3676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36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Murphy</dc:creator>
  <cp:keywords/>
  <dc:description/>
  <cp:lastModifiedBy>Councillor Murphy</cp:lastModifiedBy>
  <cp:revision>2</cp:revision>
  <dcterms:created xsi:type="dcterms:W3CDTF">2022-07-19T16:18:00Z</dcterms:created>
  <dcterms:modified xsi:type="dcterms:W3CDTF">2022-07-19T16:18:00Z</dcterms:modified>
</cp:coreProperties>
</file>